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C8E401">
      <w:pPr>
        <w:spacing w:line="276" w:lineRule="auto"/>
        <w:jc w:val="center"/>
        <w:rPr>
          <w:rFonts w:ascii="宋体" w:hAnsi="宋体" w:eastAsia="宋体" w:cs="微软雅黑"/>
          <w:b/>
          <w:bCs/>
          <w:szCs w:val="21"/>
        </w:rPr>
      </w:pPr>
      <w:r>
        <w:rPr>
          <w:rFonts w:hint="eastAsia" w:ascii="黑体" w:hAnsi="黑体" w:eastAsia="黑体" w:cs="微软雅黑"/>
          <w:b/>
          <w:bCs/>
          <w:sz w:val="32"/>
          <w:szCs w:val="32"/>
        </w:rPr>
        <w:t>迪康药业202</w:t>
      </w:r>
      <w:r>
        <w:rPr>
          <w:rFonts w:hint="eastAsia" w:ascii="黑体" w:hAnsi="黑体" w:eastAsia="黑体" w:cs="微软雅黑"/>
          <w:b/>
          <w:bCs/>
          <w:sz w:val="32"/>
          <w:szCs w:val="32"/>
          <w:lang w:val="en-US" w:eastAsia="zh-CN"/>
        </w:rPr>
        <w:t>6届</w:t>
      </w:r>
      <w:r>
        <w:rPr>
          <w:rFonts w:hint="eastAsia" w:ascii="黑体" w:hAnsi="黑体" w:eastAsia="黑体" w:cs="微软雅黑"/>
          <w:b/>
          <w:bCs/>
          <w:sz w:val="32"/>
          <w:szCs w:val="32"/>
        </w:rPr>
        <w:t>招聘简章</w:t>
      </w:r>
    </w:p>
    <w:p w14:paraId="2B8129E0">
      <w:pPr>
        <w:spacing w:line="276" w:lineRule="auto"/>
        <w:rPr>
          <w:rFonts w:hint="eastAsia" w:ascii="微软雅黑" w:hAnsi="微软雅黑" w:eastAsia="微软雅黑"/>
          <w:b/>
          <w:color w:val="FF0000"/>
          <w:sz w:val="28"/>
          <w:szCs w:val="28"/>
        </w:rPr>
      </w:pPr>
      <w:r>
        <w:rPr>
          <w:rFonts w:hint="eastAsia" w:ascii="宋体" w:hAnsi="宋体" w:eastAsia="宋体" w:cs="微软雅黑"/>
          <w:b/>
          <w:bCs/>
          <w:szCs w:val="21"/>
          <w:lang w:val="en-US" w:eastAsia="zh-CN"/>
        </w:rPr>
        <w:drawing>
          <wp:inline distT="0" distB="0" distL="114300" distR="114300">
            <wp:extent cx="5271135" cy="3194050"/>
            <wp:effectExtent l="0" t="0" r="5715" b="6350"/>
            <wp:docPr id="9" name="图片 9" descr="迪康中药全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迪康中药全景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6884">
      <w:pPr>
        <w:spacing w:line="440" w:lineRule="exact"/>
        <w:jc w:val="center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迪康药业实力雄厚</w:t>
      </w:r>
    </w:p>
    <w:p w14:paraId="75BBEC0C">
      <w:pPr>
        <w:spacing w:line="440" w:lineRule="exact"/>
        <w:jc w:val="center"/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中国企业500强卓尔控股汉商集团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（股票代码：6</w:t>
      </w:r>
      <w:r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00774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旗下大健康产业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核心平台</w:t>
      </w:r>
    </w:p>
    <w:p w14:paraId="72AFA51C">
      <w:pPr>
        <w:spacing w:line="440" w:lineRule="exact"/>
        <w:jc w:val="center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迪康药业发展稳健</w:t>
      </w:r>
    </w:p>
    <w:p w14:paraId="47510044">
      <w:pPr>
        <w:spacing w:line="440" w:lineRule="exact"/>
        <w:jc w:val="center"/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拥有3</w:t>
      </w:r>
      <w:r>
        <w:rPr>
          <w:rFonts w:hint="eastAsia" w:ascii="微软雅黑" w:hAnsi="微软雅黑" w:eastAsia="微软雅黑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年制药领域行业经验</w:t>
      </w:r>
    </w:p>
    <w:p w14:paraId="30BF0A61">
      <w:pPr>
        <w:spacing w:line="440" w:lineRule="exact"/>
        <w:jc w:val="center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迪康药业布局广阔</w:t>
      </w:r>
    </w:p>
    <w:p w14:paraId="4BA3A0F6">
      <w:pPr>
        <w:spacing w:line="440" w:lineRule="exact"/>
        <w:jc w:val="center"/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4个研发单位、</w:t>
      </w:r>
      <w:r>
        <w:rPr>
          <w:rFonts w:hint="eastAsia" w:ascii="微软雅黑" w:hAnsi="微软雅黑" w:eastAsia="微软雅黑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个生产单位、4个</w:t>
      </w:r>
      <w:r>
        <w:rPr>
          <w:rFonts w:hint="eastAsia" w:ascii="微软雅黑" w:hAnsi="微软雅黑" w:eastAsia="微软雅黑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营销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单位</w:t>
      </w:r>
    </w:p>
    <w:p w14:paraId="345BDCFC">
      <w:pPr>
        <w:spacing w:line="440" w:lineRule="exact"/>
        <w:jc w:val="center"/>
        <w:rPr>
          <w:rFonts w:hint="eastAsia" w:ascii="微软雅黑" w:hAnsi="微软雅黑" w:eastAsia="微软雅黑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迪康药业产品卓越</w:t>
      </w:r>
    </w:p>
    <w:p w14:paraId="0F1B6E8E">
      <w:pPr>
        <w:spacing w:line="440" w:lineRule="exact"/>
        <w:jc w:val="center"/>
        <w:rPr>
          <w:rFonts w:hint="eastAsia" w:ascii="微软雅黑" w:hAnsi="微软雅黑" w:eastAsia="微软雅黑"/>
          <w:b/>
          <w:color w:val="FF0000"/>
          <w:szCs w:val="21"/>
        </w:rPr>
      </w:pPr>
      <w:r>
        <w:rPr>
          <w:rFonts w:hint="eastAsia" w:ascii="微软雅黑" w:hAnsi="微软雅黑" w:eastAsia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通窍鼻炎颗粒，</w:t>
      </w: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鼻炎类中成药零售市场</w:t>
      </w:r>
      <w:r>
        <w:rPr>
          <w:rFonts w:hint="eastAsia" w:ascii="微软雅黑" w:hAnsi="微软雅黑" w:eastAsia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连续4年销量第一</w:t>
      </w: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，西普会鼻炎用药上榜品种；</w:t>
      </w:r>
      <w:r>
        <w:rPr>
          <w:rFonts w:hint="eastAsia" w:ascii="微软雅黑" w:hAnsi="微软雅黑" w:eastAsia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雷贝拉唑钠肠溶片</w:t>
      </w: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，2025销售额在雷贝拉唑口服制剂市场中，</w:t>
      </w:r>
      <w:r>
        <w:rPr>
          <w:rFonts w:hint="eastAsia" w:ascii="微软雅黑" w:hAnsi="微软雅黑" w:eastAsia="微软雅黑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零售渠道NO.2</w:t>
      </w:r>
      <w:r>
        <w:rPr>
          <w:rFonts w:hint="eastAsia" w:ascii="微软雅黑" w:hAnsi="微软雅黑" w:eastAsia="微软雅黑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、重点省市公立医院渠道NO.1；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可吸收医用膜</w:t>
      </w:r>
      <w:r>
        <w:rPr>
          <w:rFonts w:hint="eastAsia"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2021</w:t>
      </w:r>
      <w:r>
        <w:rPr>
          <w:rFonts w:hint="eastAsia"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固体可吸收防粘连产品类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NO.1</w:t>
      </w:r>
    </w:p>
    <w:p w14:paraId="7B58C827">
      <w:pPr>
        <w:spacing w:line="440" w:lineRule="exact"/>
        <w:jc w:val="center"/>
        <w:rPr>
          <w:rFonts w:ascii="微软雅黑" w:hAnsi="微软雅黑" w:eastAsia="微软雅黑"/>
          <w:b/>
          <w:color w:val="FF0000"/>
          <w:szCs w:val="21"/>
        </w:rPr>
      </w:pPr>
      <w:r>
        <w:rPr>
          <w:rFonts w:hint="eastAsia" w:ascii="微软雅黑" w:hAnsi="微软雅黑" w:eastAsia="微软雅黑"/>
          <w:b/>
          <w:color w:val="FF0000"/>
          <w:szCs w:val="21"/>
        </w:rPr>
        <w:t>迪康药业以“成为一家受行业尊重的企业”</w:t>
      </w:r>
      <w:r>
        <w:rPr>
          <w:rFonts w:hint="eastAsia" w:ascii="微软雅黑" w:hAnsi="微软雅黑" w:eastAsia="微软雅黑"/>
          <w:b/>
          <w:color w:val="FF0000"/>
          <w:szCs w:val="21"/>
          <w:lang w:val="en-US" w:eastAsia="zh-CN"/>
        </w:rPr>
        <w:t>为</w:t>
      </w:r>
      <w:r>
        <w:rPr>
          <w:rFonts w:hint="eastAsia" w:ascii="微软雅黑" w:hAnsi="微软雅黑" w:eastAsia="微软雅黑"/>
          <w:b/>
          <w:color w:val="FF0000"/>
          <w:szCs w:val="21"/>
        </w:rPr>
        <w:t>愿景，秉承“执着、求变、务实”的核心价值观，</w:t>
      </w:r>
      <w:r>
        <w:rPr>
          <w:rFonts w:hint="eastAsia" w:ascii="微软雅黑" w:hAnsi="微软雅黑" w:eastAsia="微软雅黑"/>
          <w:b/>
          <w:color w:val="FF0000"/>
          <w:szCs w:val="21"/>
          <w:lang w:val="en-US" w:eastAsia="zh-CN"/>
        </w:rPr>
        <w:t>旨</w:t>
      </w:r>
      <w:r>
        <w:rPr>
          <w:rFonts w:hint="eastAsia" w:ascii="微软雅黑" w:hAnsi="微软雅黑" w:eastAsia="微软雅黑"/>
          <w:b/>
          <w:color w:val="FF0000"/>
          <w:szCs w:val="21"/>
        </w:rPr>
        <w:t>在打造一支可持续健康发展的企业。</w:t>
      </w:r>
    </w:p>
    <w:p w14:paraId="3558E25E">
      <w:pPr>
        <w:ind w:firstLine="420" w:firstLineChars="200"/>
        <w:jc w:val="center"/>
      </w:pPr>
      <w:r>
        <w:drawing>
          <wp:inline distT="0" distB="0" distL="0" distR="0">
            <wp:extent cx="953770" cy="953770"/>
            <wp:effectExtent l="0" t="0" r="11430" b="1143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537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迪康制药</w:t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0" distR="0">
            <wp:extent cx="883920" cy="1238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917" cy="13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2886">
      <w:pPr>
        <w:ind w:firstLine="420" w:firstLineChars="200"/>
        <w:jc w:val="center"/>
      </w:pPr>
    </w:p>
    <w:p w14:paraId="514B25AB">
      <w:pPr>
        <w:spacing w:line="440" w:lineRule="exact"/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一、公司简介</w:t>
      </w:r>
      <w:bookmarkStart w:id="0" w:name="_GoBack"/>
      <w:bookmarkEnd w:id="0"/>
    </w:p>
    <w:p w14:paraId="32704E78">
      <w:pPr>
        <w:spacing w:line="440" w:lineRule="exact"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成都迪康药业股份有限公司成立于1993年，是中国企业500强卓尔控股汉商集团（股票代码：600774）旗下大健康产业核心平台，是一家专注于制药领域，并涉足药品、医疗器械及大健康消费品产业，以研发、生产、销售纵向一体化发展的国家高新技术企业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</w:rPr>
        <w:t>下辖</w:t>
      </w:r>
      <w:r>
        <w:rPr>
          <w:rFonts w:hint="eastAsia" w:ascii="微软雅黑" w:hAnsi="微软雅黑" w:eastAsia="微软雅黑"/>
          <w:lang w:val="en-US" w:eastAsia="zh-CN"/>
        </w:rPr>
        <w:t>四个研发单位、六</w:t>
      </w:r>
      <w:r>
        <w:rPr>
          <w:rFonts w:hint="eastAsia" w:ascii="微软雅黑" w:hAnsi="微软雅黑" w:eastAsia="微软雅黑"/>
        </w:rPr>
        <w:t>个现代化生产基地及</w:t>
      </w:r>
      <w:r>
        <w:rPr>
          <w:rFonts w:hint="eastAsia" w:ascii="微软雅黑" w:hAnsi="微软雅黑" w:eastAsia="微软雅黑"/>
          <w:lang w:val="en-US" w:eastAsia="zh-CN"/>
        </w:rPr>
        <w:t>四</w:t>
      </w:r>
      <w:r>
        <w:rPr>
          <w:rFonts w:hint="eastAsia" w:ascii="微软雅黑" w:hAnsi="微软雅黑" w:eastAsia="微软雅黑"/>
        </w:rPr>
        <w:t>个专业药品营销公司，有员工1</w:t>
      </w:r>
      <w:r>
        <w:rPr>
          <w:rFonts w:hint="eastAsia" w:ascii="微软雅黑" w:hAnsi="微软雅黑" w:eastAsia="微软雅黑"/>
          <w:lang w:val="en-US" w:eastAsia="zh-CN"/>
        </w:rPr>
        <w:t>600</w:t>
      </w:r>
      <w:r>
        <w:rPr>
          <w:rFonts w:hint="eastAsia" w:ascii="微软雅黑" w:hAnsi="微软雅黑" w:eastAsia="微软雅黑"/>
        </w:rPr>
        <w:t>余人。</w:t>
      </w:r>
    </w:p>
    <w:p w14:paraId="6382B92E">
      <w:pPr>
        <w:spacing w:line="440" w:lineRule="exact"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迪康药业自成立以来，曾荣获“国家工信部两化融合贯标单位”、“省/市企业技术中心”、“四川省十大金牌川药工业企业”、“A级纳税信用企业”等荣誉称号。2015年，“迪康”商标被评为“中国驰名商标”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  <w:lang w:val="en-US" w:eastAsia="zh-CN"/>
        </w:rPr>
        <w:t>2022年获得</w:t>
      </w:r>
      <w:r>
        <w:rPr>
          <w:rFonts w:hint="eastAsia" w:ascii="微软雅黑" w:hAnsi="微软雅黑" w:eastAsia="微软雅黑"/>
        </w:rPr>
        <w:t>“国家高新技术企业”。</w:t>
      </w:r>
    </w:p>
    <w:p w14:paraId="02B1A8F8">
      <w:pPr>
        <w:spacing w:line="360" w:lineRule="auto"/>
        <w:jc w:val="center"/>
      </w:pPr>
      <w:r>
        <w:drawing>
          <wp:inline distT="0" distB="0" distL="114300" distR="114300">
            <wp:extent cx="5273040" cy="2365375"/>
            <wp:effectExtent l="0" t="0" r="3810" b="15875"/>
            <wp:docPr id="1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D613">
      <w:pPr>
        <w:spacing w:line="440" w:lineRule="exac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二、公司产品</w:t>
      </w:r>
    </w:p>
    <w:p w14:paraId="7CC79ECE">
      <w:pPr>
        <w:spacing w:line="440" w:lineRule="exact"/>
        <w:ind w:firstLine="42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公司药品种类主要涉及消化系统、呼吸系统、医疗器械、儿科、皮肤科、妇科等，核心产品包括“安可妥”（盐酸吡格列酮片，国家一类新药）、“安斯菲”（雷贝拉唑钠肠溶片，国家二类新药）、国家前中药保护品种“通窍鼻炎颗粒”、“龙七胃康片”、“芩连胶囊”、国家“863”项目“可吸收骨折内固定螺钉”和“可吸收医用膜”等。其中，“可吸收骨折内固定螺钉”、“可吸收医用膜”属国内首创，达国际先进水平。</w:t>
      </w:r>
    </w:p>
    <w:p w14:paraId="1C65C33D">
      <w:pPr>
        <w:jc w:val="center"/>
        <w:rPr>
          <w:rFonts w:hint="eastAsia" w:ascii="微软雅黑" w:hAnsi="微软雅黑" w:eastAsia="微软雅黑" w:cs="微软雅黑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2322830"/>
            <wp:effectExtent l="0" t="0" r="5715" b="1270"/>
            <wp:docPr id="5" name="图片 5" descr="2df54ea055d5c1f0e2ed692988ec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df54ea055d5c1f0e2ed692988ec6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7D66">
      <w:pPr>
        <w:jc w:val="center"/>
        <w:rPr>
          <w:rFonts w:ascii="微软雅黑" w:hAnsi="微软雅黑" w:eastAsia="微软雅黑" w:cs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6396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95B2"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三、招聘岗位</w:t>
      </w:r>
    </w:p>
    <w:tbl>
      <w:tblPr>
        <w:tblStyle w:val="6"/>
        <w:tblW w:w="90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260"/>
        <w:gridCol w:w="4403"/>
        <w:gridCol w:w="1701"/>
      </w:tblGrid>
      <w:tr w14:paraId="0E7D8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08ADE958"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序号</w:t>
            </w:r>
          </w:p>
        </w:tc>
        <w:tc>
          <w:tcPr>
            <w:tcW w:w="2260" w:type="dxa"/>
            <w:vAlign w:val="center"/>
          </w:tcPr>
          <w:p w14:paraId="267CDCCC"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招聘岗位</w:t>
            </w:r>
          </w:p>
        </w:tc>
        <w:tc>
          <w:tcPr>
            <w:tcW w:w="4403" w:type="dxa"/>
            <w:vAlign w:val="center"/>
          </w:tcPr>
          <w:p w14:paraId="3FDA6094"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专业要求</w:t>
            </w:r>
          </w:p>
        </w:tc>
        <w:tc>
          <w:tcPr>
            <w:tcW w:w="1701" w:type="dxa"/>
            <w:vAlign w:val="center"/>
          </w:tcPr>
          <w:p w14:paraId="077E480A"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工作地点</w:t>
            </w:r>
          </w:p>
        </w:tc>
      </w:tr>
      <w:tr w14:paraId="57660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exact"/>
          <w:jc w:val="center"/>
        </w:trPr>
        <w:tc>
          <w:tcPr>
            <w:tcW w:w="709" w:type="dxa"/>
            <w:vAlign w:val="center"/>
          </w:tcPr>
          <w:p w14:paraId="611DEB35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260" w:type="dxa"/>
            <w:vAlign w:val="center"/>
          </w:tcPr>
          <w:p w14:paraId="79051709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  <w:t>生产技术（器械）</w:t>
            </w:r>
          </w:p>
        </w:tc>
        <w:tc>
          <w:tcPr>
            <w:tcW w:w="4403" w:type="dxa"/>
            <w:vAlign w:val="center"/>
          </w:tcPr>
          <w:p w14:paraId="579CB4FE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高分子材料、化工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等相关专业</w:t>
            </w:r>
          </w:p>
        </w:tc>
        <w:tc>
          <w:tcPr>
            <w:tcW w:w="1701" w:type="dxa"/>
            <w:vAlign w:val="center"/>
          </w:tcPr>
          <w:p w14:paraId="760E6EF9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四川</w:t>
            </w:r>
            <w:r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  <w:t>成都</w:t>
            </w:r>
          </w:p>
        </w:tc>
      </w:tr>
      <w:tr w14:paraId="0BEED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44CA05C1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260" w:type="dxa"/>
            <w:vAlign w:val="center"/>
          </w:tcPr>
          <w:p w14:paraId="36DAB570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高分子研发合成</w:t>
            </w:r>
          </w:p>
        </w:tc>
        <w:tc>
          <w:tcPr>
            <w:tcW w:w="4403" w:type="dxa"/>
            <w:vAlign w:val="center"/>
          </w:tcPr>
          <w:p w14:paraId="22119E7B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高分子材料、生物医学材料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等相关专业</w:t>
            </w:r>
          </w:p>
        </w:tc>
        <w:tc>
          <w:tcPr>
            <w:tcW w:w="1701" w:type="dxa"/>
            <w:vAlign w:val="center"/>
          </w:tcPr>
          <w:p w14:paraId="41F72806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成都</w:t>
            </w:r>
          </w:p>
        </w:tc>
      </w:tr>
      <w:tr w14:paraId="0A1BB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06EA3047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260" w:type="dxa"/>
            <w:vAlign w:val="center"/>
          </w:tcPr>
          <w:p w14:paraId="4D6AEA19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生产计划</w:t>
            </w:r>
          </w:p>
        </w:tc>
        <w:tc>
          <w:tcPr>
            <w:tcW w:w="4403" w:type="dxa"/>
            <w:vAlign w:val="center"/>
          </w:tcPr>
          <w:p w14:paraId="05C26774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中药学等相关专业</w:t>
            </w:r>
          </w:p>
        </w:tc>
        <w:tc>
          <w:tcPr>
            <w:tcW w:w="1701" w:type="dxa"/>
            <w:vAlign w:val="center"/>
          </w:tcPr>
          <w:p w14:paraId="58AC4C04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万州</w:t>
            </w:r>
          </w:p>
        </w:tc>
      </w:tr>
      <w:tr w14:paraId="597AE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64432E9A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260" w:type="dxa"/>
            <w:vAlign w:val="center"/>
          </w:tcPr>
          <w:p w14:paraId="493FC47B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车间工艺</w:t>
            </w:r>
          </w:p>
        </w:tc>
        <w:tc>
          <w:tcPr>
            <w:tcW w:w="4403" w:type="dxa"/>
            <w:shd w:val="clear" w:color="auto" w:fill="auto"/>
            <w:vAlign w:val="center"/>
          </w:tcPr>
          <w:p w14:paraId="2B8D6E67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中药学等相关专业</w:t>
            </w:r>
          </w:p>
        </w:tc>
        <w:tc>
          <w:tcPr>
            <w:tcW w:w="1701" w:type="dxa"/>
            <w:vAlign w:val="center"/>
          </w:tcPr>
          <w:p w14:paraId="7063BE49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万州</w:t>
            </w:r>
          </w:p>
        </w:tc>
      </w:tr>
      <w:tr w14:paraId="16530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075233A9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260" w:type="dxa"/>
            <w:vAlign w:val="center"/>
          </w:tcPr>
          <w:p w14:paraId="150018E4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机械设备</w:t>
            </w:r>
          </w:p>
        </w:tc>
        <w:tc>
          <w:tcPr>
            <w:tcW w:w="4403" w:type="dxa"/>
            <w:shd w:val="clear" w:color="auto" w:fill="auto"/>
            <w:vAlign w:val="center"/>
          </w:tcPr>
          <w:p w14:paraId="306C3241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机械、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设备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自动化等相关专业</w:t>
            </w:r>
          </w:p>
        </w:tc>
        <w:tc>
          <w:tcPr>
            <w:tcW w:w="1701" w:type="dxa"/>
            <w:vAlign w:val="center"/>
          </w:tcPr>
          <w:p w14:paraId="63347921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万州</w:t>
            </w:r>
          </w:p>
        </w:tc>
      </w:tr>
      <w:tr w14:paraId="30F67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045E4128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260" w:type="dxa"/>
            <w:vAlign w:val="center"/>
          </w:tcPr>
          <w:p w14:paraId="67EDE072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EHS管理</w:t>
            </w:r>
          </w:p>
        </w:tc>
        <w:tc>
          <w:tcPr>
            <w:tcW w:w="4403" w:type="dxa"/>
            <w:shd w:val="clear" w:color="auto" w:fill="auto"/>
            <w:vAlign w:val="center"/>
          </w:tcPr>
          <w:p w14:paraId="261ADD0A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安全工程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等相关专业</w:t>
            </w:r>
          </w:p>
        </w:tc>
        <w:tc>
          <w:tcPr>
            <w:tcW w:w="1701" w:type="dxa"/>
            <w:vAlign w:val="center"/>
          </w:tcPr>
          <w:p w14:paraId="5AB13E3E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万州</w:t>
            </w:r>
          </w:p>
        </w:tc>
      </w:tr>
      <w:tr w14:paraId="3AB42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5DCA5487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260" w:type="dxa"/>
            <w:vAlign w:val="center"/>
          </w:tcPr>
          <w:p w14:paraId="63333759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QA</w:t>
            </w:r>
          </w:p>
        </w:tc>
        <w:tc>
          <w:tcPr>
            <w:tcW w:w="4403" w:type="dxa"/>
            <w:shd w:val="clear" w:color="auto" w:fill="auto"/>
            <w:vAlign w:val="center"/>
          </w:tcPr>
          <w:p w14:paraId="25170012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中药学等相关专业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D3455A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ascii="微软雅黑" w:hAnsi="微软雅黑" w:eastAsia="微软雅黑" w:cs="微软雅黑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万州</w:t>
            </w:r>
          </w:p>
        </w:tc>
      </w:tr>
      <w:tr w14:paraId="6DEF4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28931723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260" w:type="dxa"/>
            <w:vAlign w:val="center"/>
          </w:tcPr>
          <w:p w14:paraId="06914CCF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QC</w:t>
            </w:r>
          </w:p>
        </w:tc>
        <w:tc>
          <w:tcPr>
            <w:tcW w:w="4403" w:type="dxa"/>
            <w:shd w:val="clear" w:color="auto" w:fill="auto"/>
            <w:vAlign w:val="center"/>
          </w:tcPr>
          <w:p w14:paraId="276D7C36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中药学等相关专业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18291F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ascii="微软雅黑" w:hAnsi="微软雅黑" w:eastAsia="微软雅黑" w:cs="微软雅黑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万州</w:t>
            </w:r>
          </w:p>
        </w:tc>
      </w:tr>
      <w:tr w14:paraId="62D46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CC7C27F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7AFB7CD9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工艺技术</w:t>
            </w:r>
          </w:p>
        </w:tc>
        <w:tc>
          <w:tcPr>
            <w:tcW w:w="4403" w:type="dxa"/>
            <w:shd w:val="clear" w:color="auto" w:fill="auto"/>
            <w:vAlign w:val="center"/>
          </w:tcPr>
          <w:p w14:paraId="780209AA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中药学等相关专业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44FB79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万州</w:t>
            </w:r>
          </w:p>
        </w:tc>
      </w:tr>
      <w:tr w14:paraId="714FE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0C8F64B5"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260" w:type="dxa"/>
            <w:vAlign w:val="center"/>
          </w:tcPr>
          <w:p w14:paraId="6024B763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营销校招生</w:t>
            </w:r>
          </w:p>
        </w:tc>
        <w:tc>
          <w:tcPr>
            <w:tcW w:w="4403" w:type="dxa"/>
            <w:shd w:val="clear" w:color="auto" w:fill="auto"/>
            <w:vAlign w:val="center"/>
          </w:tcPr>
          <w:p w14:paraId="703A6960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专业不限</w:t>
            </w:r>
          </w:p>
        </w:tc>
        <w:tc>
          <w:tcPr>
            <w:tcW w:w="1701" w:type="dxa"/>
            <w:vAlign w:val="center"/>
          </w:tcPr>
          <w:p w14:paraId="30792C08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全国</w:t>
            </w:r>
          </w:p>
          <w:p w14:paraId="70CAAEB3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083FA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2C3F9EA2"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2260" w:type="dxa"/>
            <w:vAlign w:val="center"/>
          </w:tcPr>
          <w:p w14:paraId="595FA7C3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医药产品</w:t>
            </w:r>
          </w:p>
        </w:tc>
        <w:tc>
          <w:tcPr>
            <w:tcW w:w="4403" w:type="dxa"/>
            <w:shd w:val="clear" w:color="auto" w:fill="auto"/>
            <w:vAlign w:val="center"/>
          </w:tcPr>
          <w:p w14:paraId="1AA8E535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中药学等相关专业</w:t>
            </w:r>
          </w:p>
        </w:tc>
        <w:tc>
          <w:tcPr>
            <w:tcW w:w="1701" w:type="dxa"/>
            <w:vAlign w:val="center"/>
          </w:tcPr>
          <w:p w14:paraId="5428CCAC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成都</w:t>
            </w:r>
          </w:p>
        </w:tc>
      </w:tr>
      <w:tr w14:paraId="4A372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09" w:type="dxa"/>
            <w:vAlign w:val="center"/>
          </w:tcPr>
          <w:p w14:paraId="72DB2BC7"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2260" w:type="dxa"/>
            <w:vAlign w:val="center"/>
          </w:tcPr>
          <w:p w14:paraId="38534494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职能支持</w:t>
            </w:r>
          </w:p>
        </w:tc>
        <w:tc>
          <w:tcPr>
            <w:tcW w:w="4403" w:type="dxa"/>
            <w:shd w:val="clear" w:color="auto" w:fill="auto"/>
            <w:vAlign w:val="center"/>
          </w:tcPr>
          <w:p w14:paraId="53F36087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人力、财务、采购、企管等相关专业</w:t>
            </w:r>
          </w:p>
        </w:tc>
        <w:tc>
          <w:tcPr>
            <w:tcW w:w="1701" w:type="dxa"/>
            <w:vAlign w:val="center"/>
          </w:tcPr>
          <w:p w14:paraId="2745CAA9">
            <w:pPr>
              <w:pStyle w:val="4"/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四川</w:t>
            </w:r>
            <w:r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  <w:t>成都</w:t>
            </w:r>
          </w:p>
        </w:tc>
      </w:tr>
    </w:tbl>
    <w:p w14:paraId="6B475DFF"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四、我们为您提供：</w:t>
      </w:r>
    </w:p>
    <w:p w14:paraId="6245FC3D">
      <w:pPr>
        <w:pStyle w:val="9"/>
        <w:widowControl/>
        <w:numPr>
          <w:ilvl w:val="0"/>
          <w:numId w:val="1"/>
        </w:numPr>
        <w:spacing w:line="440" w:lineRule="exact"/>
        <w:ind w:left="42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具有</w:t>
      </w:r>
      <w:r>
        <w:rPr>
          <w:rFonts w:ascii="微软雅黑" w:hAnsi="微软雅黑" w:eastAsia="微软雅黑" w:cs="微软雅黑"/>
          <w:b/>
          <w:bCs/>
          <w:color w:val="C00000"/>
          <w:szCs w:val="21"/>
        </w:rPr>
        <w:t>竞争力</w:t>
      </w:r>
      <w:r>
        <w:rPr>
          <w:rFonts w:ascii="微软雅黑" w:hAnsi="微软雅黑" w:eastAsia="微软雅黑" w:cs="微软雅黑"/>
          <w:szCs w:val="21"/>
        </w:rPr>
        <w:t>的薪酬</w:t>
      </w:r>
      <w:r>
        <w:rPr>
          <w:rFonts w:hint="eastAsia" w:ascii="微软雅黑" w:hAnsi="微软雅黑" w:eastAsia="微软雅黑" w:cs="微软雅黑"/>
          <w:szCs w:val="21"/>
        </w:rPr>
        <w:t>福利</w:t>
      </w:r>
      <w:r>
        <w:rPr>
          <w:rFonts w:ascii="微软雅黑" w:hAnsi="微软雅黑" w:eastAsia="微软雅黑" w:cs="微软雅黑"/>
          <w:szCs w:val="21"/>
        </w:rPr>
        <w:t>：</w:t>
      </w:r>
    </w:p>
    <w:p w14:paraId="62FB61AE">
      <w:pPr>
        <w:numPr>
          <w:ilvl w:val="0"/>
          <w:numId w:val="2"/>
        </w:numPr>
        <w:spacing w:line="440" w:lineRule="exact"/>
        <w:ind w:left="420" w:leftChars="0" w:hanging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</w:rPr>
        <w:t>薪酬结构</w:t>
      </w:r>
      <w:r>
        <w:rPr>
          <w:rFonts w:hint="eastAsia" w:ascii="微软雅黑" w:hAnsi="微软雅黑" w:eastAsia="微软雅黑"/>
        </w:rPr>
        <w:t>：基本月薪（含绩效）+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</w:rPr>
        <w:t>计件工资</w:t>
      </w:r>
      <w:r>
        <w:rPr>
          <w:rFonts w:hint="eastAsia" w:ascii="微软雅黑" w:hAnsi="微软雅黑" w:eastAsia="微软雅黑"/>
          <w:lang w:eastAsia="zh-CN"/>
        </w:rPr>
        <w:t>）</w:t>
      </w:r>
      <w:r>
        <w:rPr>
          <w:rFonts w:hint="eastAsia" w:ascii="微软雅黑" w:hAnsi="微软雅黑" w:eastAsia="微软雅黑"/>
        </w:rPr>
        <w:t>/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</w:rPr>
        <w:t>销售提成</w:t>
      </w:r>
      <w:r>
        <w:rPr>
          <w:rFonts w:hint="eastAsia" w:ascii="微软雅黑" w:hAnsi="微软雅黑" w:eastAsia="微软雅黑"/>
          <w:lang w:eastAsia="zh-CN"/>
        </w:rPr>
        <w:t>）</w:t>
      </w:r>
      <w:r>
        <w:rPr>
          <w:rFonts w:hint="eastAsia" w:ascii="微软雅黑" w:hAnsi="微软雅黑" w:eastAsia="微软雅黑"/>
        </w:rPr>
        <w:t>+年终绩效</w:t>
      </w:r>
      <w:r>
        <w:rPr>
          <w:rFonts w:hint="eastAsia" w:ascii="微软雅黑" w:hAnsi="微软雅黑" w:eastAsia="微软雅黑"/>
          <w:lang w:val="en-US" w:eastAsia="zh-CN"/>
        </w:rPr>
        <w:t>奖金</w:t>
      </w:r>
    </w:p>
    <w:p w14:paraId="60C0764B">
      <w:pPr>
        <w:numPr>
          <w:ilvl w:val="0"/>
          <w:numId w:val="2"/>
        </w:numPr>
        <w:spacing w:line="440" w:lineRule="exact"/>
        <w:ind w:left="420" w:leftChars="0" w:hanging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</w:rPr>
        <w:t>法定福利</w:t>
      </w:r>
      <w:r>
        <w:rPr>
          <w:rFonts w:hint="eastAsia" w:ascii="微软雅黑" w:hAnsi="微软雅黑" w:eastAsia="微软雅黑"/>
        </w:rPr>
        <w:t>：五险一金、年休假、法定节假日</w:t>
      </w:r>
    </w:p>
    <w:p w14:paraId="2D58FD01">
      <w:pPr>
        <w:numPr>
          <w:ilvl w:val="0"/>
          <w:numId w:val="2"/>
        </w:numPr>
        <w:spacing w:line="440" w:lineRule="exact"/>
        <w:ind w:left="420" w:leftChars="0" w:hanging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</w:rPr>
        <w:t>其他福利</w:t>
      </w:r>
      <w:r>
        <w:rPr>
          <w:rFonts w:hint="eastAsia" w:ascii="微软雅黑" w:hAnsi="微软雅黑" w:eastAsia="微软雅黑"/>
        </w:rPr>
        <w:t>：交通</w:t>
      </w:r>
      <w:r>
        <w:rPr>
          <w:rFonts w:hint="eastAsia" w:ascii="微软雅黑" w:hAnsi="微软雅黑" w:eastAsia="微软雅黑"/>
          <w:lang w:val="en-US" w:eastAsia="zh-CN"/>
        </w:rPr>
        <w:t>补贴</w:t>
      </w:r>
      <w:r>
        <w:rPr>
          <w:rFonts w:hint="eastAsia" w:ascii="微软雅黑" w:hAnsi="微软雅黑" w:eastAsia="微软雅黑"/>
        </w:rPr>
        <w:t>、通讯</w:t>
      </w:r>
      <w:r>
        <w:rPr>
          <w:rFonts w:hint="eastAsia" w:ascii="微软雅黑" w:hAnsi="微软雅黑" w:eastAsia="微软雅黑"/>
          <w:lang w:val="en-US" w:eastAsia="zh-CN"/>
        </w:rPr>
        <w:t>补贴</w:t>
      </w:r>
      <w:r>
        <w:rPr>
          <w:rFonts w:hint="eastAsia" w:ascii="微软雅黑" w:hAnsi="微软雅黑" w:eastAsia="微软雅黑"/>
        </w:rPr>
        <w:t>、住房补贴，免费工作餐，班车，年度体检，生日</w:t>
      </w:r>
      <w:r>
        <w:rPr>
          <w:rFonts w:hint="eastAsia" w:ascii="微软雅黑" w:hAnsi="微软雅黑" w:eastAsia="微软雅黑"/>
          <w:lang w:val="en-US" w:eastAsia="zh-CN"/>
        </w:rPr>
        <w:t>福利</w:t>
      </w:r>
      <w:r>
        <w:rPr>
          <w:rFonts w:hint="eastAsia" w:ascii="微软雅黑" w:hAnsi="微软雅黑" w:eastAsia="微软雅黑"/>
        </w:rPr>
        <w:t>、节</w:t>
      </w:r>
      <w:r>
        <w:rPr>
          <w:rFonts w:hint="eastAsia" w:ascii="微软雅黑" w:hAnsi="微软雅黑" w:eastAsia="微软雅黑"/>
          <w:lang w:val="en-US" w:eastAsia="zh-CN"/>
        </w:rPr>
        <w:t>假</w:t>
      </w:r>
      <w:r>
        <w:rPr>
          <w:rFonts w:hint="eastAsia" w:ascii="微软雅黑" w:hAnsi="微软雅黑" w:eastAsia="微软雅黑"/>
        </w:rPr>
        <w:t>日福利</w:t>
      </w:r>
    </w:p>
    <w:p w14:paraId="5953261B">
      <w:pPr>
        <w:numPr>
          <w:ilvl w:val="0"/>
          <w:numId w:val="2"/>
        </w:numPr>
        <w:spacing w:line="440" w:lineRule="exact"/>
        <w:ind w:left="420" w:leftChars="0" w:hanging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</w:rPr>
        <w:t>文化活动</w:t>
      </w:r>
      <w:r>
        <w:rPr>
          <w:rFonts w:hint="eastAsia" w:ascii="微软雅黑" w:hAnsi="微软雅黑" w:eastAsia="微软雅黑"/>
        </w:rPr>
        <w:t>：四大球类俱乐部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  <w:lang w:val="en-US" w:eastAsia="zh-CN"/>
        </w:rPr>
        <w:t>篮球、乒乓球、羽毛球、足球</w:t>
      </w:r>
      <w:r>
        <w:rPr>
          <w:rFonts w:hint="eastAsia" w:ascii="微软雅黑" w:hAnsi="微软雅黑" w:eastAsia="微软雅黑"/>
          <w:lang w:eastAsia="zh-CN"/>
        </w:rPr>
        <w:t>）</w:t>
      </w:r>
      <w:r>
        <w:rPr>
          <w:rFonts w:hint="eastAsia" w:ascii="微软雅黑" w:hAnsi="微软雅黑" w:eastAsia="微软雅黑"/>
        </w:rPr>
        <w:t>、</w:t>
      </w:r>
      <w:r>
        <w:rPr>
          <w:rFonts w:hint="eastAsia" w:ascii="微软雅黑" w:hAnsi="微软雅黑" w:eastAsia="微软雅黑"/>
          <w:lang w:val="en-US" w:eastAsia="zh-CN"/>
        </w:rPr>
        <w:t>瑜伽俱乐部、</w:t>
      </w:r>
      <w:r>
        <w:rPr>
          <w:rFonts w:hint="eastAsia" w:ascii="微软雅黑" w:hAnsi="微软雅黑" w:eastAsia="微软雅黑"/>
        </w:rPr>
        <w:t>悦跑团、工会活动、员</w:t>
      </w:r>
      <w:r>
        <w:rPr>
          <w:rFonts w:hint="eastAsia" w:ascii="微软雅黑" w:hAnsi="微软雅黑" w:eastAsia="微软雅黑"/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41910</wp:posOffset>
            </wp:positionV>
            <wp:extent cx="1891665" cy="1261110"/>
            <wp:effectExtent l="0" t="0" r="13335" b="15240"/>
            <wp:wrapSquare wrapText="bothSides"/>
            <wp:docPr id="7" name="图片 7" descr="f49851ff86bcad304f12090125bd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9851ff86bcad304f12090125bd15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</w:rPr>
        <w:t>工运动会、节日主题活动等</w:t>
      </w:r>
    </w:p>
    <w:p w14:paraId="4BDB6E0D">
      <w:pPr>
        <w:pStyle w:val="9"/>
        <w:widowControl/>
        <w:numPr>
          <w:ilvl w:val="0"/>
          <w:numId w:val="1"/>
        </w:numPr>
        <w:spacing w:line="440" w:lineRule="exact"/>
        <w:ind w:left="477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b/>
          <w:bCs/>
          <w:color w:val="C00000"/>
          <w:szCs w:val="21"/>
        </w:rPr>
        <w:t>花园式</w:t>
      </w:r>
      <w:r>
        <w:rPr>
          <w:rFonts w:ascii="微软雅黑" w:hAnsi="微软雅黑" w:eastAsia="微软雅黑" w:cs="微软雅黑"/>
          <w:color w:val="000000"/>
          <w:szCs w:val="21"/>
        </w:rPr>
        <w:t>的办公环境</w:t>
      </w:r>
    </w:p>
    <w:p w14:paraId="2AA6016E">
      <w:pPr>
        <w:pStyle w:val="9"/>
        <w:widowControl/>
        <w:numPr>
          <w:ilvl w:val="0"/>
          <w:numId w:val="1"/>
        </w:numPr>
        <w:spacing w:line="440" w:lineRule="exact"/>
        <w:ind w:left="477" w:firstLineChars="0"/>
        <w:jc w:val="left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Cs w:val="21"/>
        </w:rPr>
        <w:t>职业化</w:t>
      </w:r>
      <w:r>
        <w:rPr>
          <w:rFonts w:hint="eastAsia" w:ascii="微软雅黑" w:hAnsi="微软雅黑" w:eastAsia="微软雅黑" w:cs="微软雅黑"/>
          <w:color w:val="000000"/>
          <w:szCs w:val="21"/>
        </w:rPr>
        <w:t>工作平台</w:t>
      </w:r>
      <w:r>
        <w:rPr>
          <w:rFonts w:hint="eastAsia" w:ascii="微软雅黑" w:hAnsi="微软雅黑" w:eastAsia="微软雅黑" w:cs="微软雅黑"/>
          <w:color w:val="000000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从领导到员工全部为职业经理人</w:t>
      </w:r>
    </w:p>
    <w:p w14:paraId="395F28BE">
      <w:pPr>
        <w:pStyle w:val="9"/>
        <w:widowControl/>
        <w:numPr>
          <w:ilvl w:val="0"/>
          <w:numId w:val="1"/>
        </w:numPr>
        <w:spacing w:line="440" w:lineRule="exact"/>
        <w:ind w:left="477" w:firstLineChars="0"/>
        <w:jc w:val="left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ascii="微软雅黑" w:hAnsi="微软雅黑" w:eastAsia="微软雅黑" w:cs="微软雅黑"/>
          <w:b/>
          <w:bCs/>
          <w:color w:val="C00000"/>
          <w:szCs w:val="21"/>
        </w:rPr>
        <w:t>完善的</w:t>
      </w:r>
      <w:r>
        <w:rPr>
          <w:rFonts w:ascii="微软雅黑" w:hAnsi="微软雅黑" w:eastAsia="微软雅黑" w:cs="微软雅黑"/>
          <w:color w:val="000000"/>
          <w:szCs w:val="21"/>
        </w:rPr>
        <w:t>人才培养体系</w:t>
      </w:r>
    </w:p>
    <w:p w14:paraId="65060FD4">
      <w:pPr>
        <w:pStyle w:val="9"/>
        <w:widowControl/>
        <w:numPr>
          <w:ilvl w:val="0"/>
          <w:numId w:val="3"/>
        </w:numPr>
        <w:spacing w:line="440" w:lineRule="exact"/>
        <w:ind w:left="420" w:leftChars="0" w:hanging="420" w:firstLineChars="0"/>
        <w:jc w:val="left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theme="minorBidi"/>
          <w:b/>
          <w:bCs/>
          <w:kern w:val="2"/>
          <w:sz w:val="21"/>
          <w:szCs w:val="24"/>
          <w:lang w:val="en-US" w:eastAsia="zh-CN" w:bidi="ar-SA"/>
        </w:rPr>
        <w:t>营销体系校招生的成长培养通道</w:t>
      </w:r>
      <w:r>
        <w:rPr>
          <w:rFonts w:hint="eastAsia" w:ascii="微软雅黑" w:hAnsi="微软雅黑" w:eastAsia="微软雅黑" w:cs="微软雅黑"/>
          <w:color w:val="000000"/>
          <w:szCs w:val="21"/>
        </w:rPr>
        <w:t>：</w:t>
      </w:r>
    </w:p>
    <w:p w14:paraId="1DF2A1FC">
      <w:pPr>
        <w:pStyle w:val="9"/>
        <w:widowControl/>
        <w:numPr>
          <w:ilvl w:val="0"/>
          <w:numId w:val="0"/>
        </w:numPr>
        <w:spacing w:line="440" w:lineRule="exact"/>
        <w:ind w:left="57" w:leftChars="0"/>
        <w:jc w:val="left"/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0-1年集训期，1-3年培养营销区域经理，3-5年培养成为省区经理；</w:t>
      </w:r>
    </w:p>
    <w:p w14:paraId="5D4FBFD5">
      <w:pPr>
        <w:pStyle w:val="9"/>
        <w:widowControl/>
        <w:numPr>
          <w:ilvl w:val="0"/>
          <w:numId w:val="3"/>
        </w:numPr>
        <w:spacing w:line="440" w:lineRule="exact"/>
        <w:ind w:left="420" w:leftChars="0" w:hanging="420" w:firstLineChars="0"/>
        <w:jc w:val="left"/>
        <w:rPr>
          <w:rFonts w:hint="eastAsia" w:ascii="微软雅黑" w:hAnsi="微软雅黑" w:eastAsia="微软雅黑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kern w:val="2"/>
          <w:sz w:val="21"/>
          <w:szCs w:val="24"/>
          <w:lang w:val="en-US" w:eastAsia="zh-CN" w:bidi="ar-SA"/>
        </w:rPr>
        <w:t>生产体系校招生的成长培养通道：</w:t>
      </w:r>
    </w:p>
    <w:p w14:paraId="4A6513B9">
      <w:pPr>
        <w:pStyle w:val="9"/>
        <w:widowControl/>
        <w:numPr>
          <w:ilvl w:val="0"/>
          <w:numId w:val="0"/>
        </w:numPr>
        <w:spacing w:line="440" w:lineRule="exact"/>
        <w:ind w:left="57" w:leftChars="0"/>
        <w:jc w:val="left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0-1年塑造轮岗期，1-3年培养生产/技术经理梯队，3-5年成为生产技术管理干部；</w:t>
      </w:r>
    </w:p>
    <w:p w14:paraId="7FC40B76">
      <w:pPr>
        <w:pStyle w:val="9"/>
        <w:widowControl/>
        <w:numPr>
          <w:ilvl w:val="0"/>
          <w:numId w:val="1"/>
        </w:numPr>
        <w:spacing w:line="440" w:lineRule="exact"/>
        <w:ind w:left="477" w:firstLineChars="0"/>
        <w:jc w:val="left"/>
        <w:rPr>
          <w:rFonts w:ascii="微软雅黑" w:hAnsi="微软雅黑" w:eastAsia="微软雅黑"/>
          <w:color w:val="262B33"/>
          <w:sz w:val="21"/>
          <w:szCs w:val="21"/>
        </w:rPr>
      </w:pPr>
      <w:r>
        <w:rPr>
          <w:rFonts w:hint="eastAsia" w:ascii="微软雅黑" w:hAnsi="微软雅黑" w:eastAsia="微软雅黑" w:cstheme="minorBidi"/>
          <w:b/>
          <w:bCs/>
          <w:color w:val="C00000"/>
          <w:kern w:val="2"/>
          <w:sz w:val="21"/>
          <w:szCs w:val="24"/>
          <w:lang w:val="en-US" w:eastAsia="zh-CN" w:bidi="ar-SA"/>
        </w:rPr>
        <w:t>多元化</w:t>
      </w:r>
      <w:r>
        <w:rPr>
          <w:rFonts w:hint="eastAsia" w:ascii="微软雅黑" w:hAnsi="微软雅黑" w:eastAsia="微软雅黑" w:cstheme="minorBidi"/>
          <w:b/>
          <w:bCs/>
          <w:kern w:val="2"/>
          <w:sz w:val="21"/>
          <w:szCs w:val="24"/>
          <w:lang w:val="en-US" w:eastAsia="zh-CN" w:bidi="ar-SA"/>
        </w:rPr>
        <w:t>职业发展通道</w:t>
      </w:r>
      <w:r>
        <w:rPr>
          <w:rFonts w:hint="eastAsia" w:ascii="微软雅黑" w:hAnsi="微软雅黑" w:eastAsia="微软雅黑" w:cs="微软雅黑"/>
          <w:color w:val="000000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技术线路+管理线路。研发、生产、职能、营销也可以进行横向发展。</w:t>
      </w:r>
    </w:p>
    <w:p w14:paraId="22F00DDA">
      <w:pPr>
        <w:pStyle w:val="4"/>
        <w:shd w:val="clear" w:color="auto" w:fill="FFFFFF"/>
        <w:spacing w:before="0" w:beforeAutospacing="0" w:after="0" w:afterAutospacing="0" w:line="440" w:lineRule="exact"/>
        <w:rPr>
          <w:rFonts w:ascii="微软雅黑" w:hAnsi="微软雅黑" w:eastAsia="微软雅黑"/>
          <w:color w:val="262B33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五、联系我们：</w:t>
      </w:r>
    </w:p>
    <w:p w14:paraId="3246DE3E">
      <w:pPr>
        <w:spacing w:line="440" w:lineRule="exact"/>
        <w:rPr>
          <w:rFonts w:hint="eastAsia" w:ascii="微软雅黑" w:hAnsi="微软雅黑" w:eastAsia="微软雅黑"/>
          <w:b/>
          <w:bCs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在线</w:t>
      </w:r>
      <w:r>
        <w:rPr>
          <w:rFonts w:hint="eastAsia" w:ascii="微软雅黑" w:hAnsi="微软雅黑" w:eastAsia="微软雅黑"/>
          <w:b/>
          <w:bCs/>
          <w:lang w:val="en-US" w:eastAsia="zh-CN"/>
        </w:rPr>
        <w:t>二维码</w:t>
      </w:r>
      <w:r>
        <w:rPr>
          <w:rFonts w:hint="eastAsia" w:ascii="微软雅黑" w:hAnsi="微软雅黑" w:eastAsia="微软雅黑"/>
          <w:b/>
          <w:bCs/>
        </w:rPr>
        <w:t>投递</w:t>
      </w:r>
      <w:r>
        <w:rPr>
          <w:rFonts w:hint="eastAsia" w:ascii="微软雅黑" w:hAnsi="微软雅黑" w:eastAsia="微软雅黑"/>
          <w:b/>
          <w:bCs/>
          <w:lang w:val="en-US" w:eastAsia="zh-CN"/>
        </w:rPr>
        <w:t>简历</w:t>
      </w:r>
      <w:r>
        <w:rPr>
          <w:rFonts w:hint="eastAsia" w:ascii="微软雅黑" w:hAnsi="微软雅黑" w:eastAsia="微软雅黑" w:cs="微软雅黑"/>
          <w:szCs w:val="21"/>
        </w:rPr>
        <w:t>：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 xml:space="preserve">   </w:t>
      </w:r>
    </w:p>
    <w:p w14:paraId="7A876BA1">
      <w:pPr>
        <w:spacing w:line="44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/>
          <w:b/>
          <w:bCs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1226185" cy="1226185"/>
            <wp:effectExtent l="0" t="0" r="5715" b="5715"/>
            <wp:wrapTopAndBottom/>
            <wp:docPr id="1" name="图片 1" descr="7f920eee608aae20ba04afba17ba4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920eee608aae20ba04afba17ba4cf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</w:rPr>
        <w:t>电话联系</w:t>
      </w:r>
      <w:r>
        <w:rPr>
          <w:rFonts w:hint="eastAsia" w:ascii="微软雅黑" w:hAnsi="微软雅黑" w:eastAsia="微软雅黑" w:cs="微软雅黑"/>
          <w:szCs w:val="21"/>
        </w:rPr>
        <w:t xml:space="preserve">：18983717501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所有岗位-</w:t>
      </w:r>
      <w:r>
        <w:rPr>
          <w:rFonts w:hint="eastAsia" w:ascii="微软雅黑" w:hAnsi="微软雅黑" w:eastAsia="微软雅黑" w:cs="微软雅黑"/>
          <w:szCs w:val="21"/>
        </w:rPr>
        <w:t>朱老师（微信同号）</w:t>
      </w:r>
    </w:p>
    <w:p w14:paraId="076F670B">
      <w:pPr>
        <w:spacing w:line="440" w:lineRule="exact"/>
        <w:ind w:firstLine="1050" w:firstLineChars="50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18215528726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营销岗位-龚</w:t>
      </w:r>
      <w:r>
        <w:rPr>
          <w:rFonts w:hint="eastAsia" w:ascii="微软雅黑" w:hAnsi="微软雅黑" w:eastAsia="微软雅黑" w:cs="微软雅黑"/>
          <w:szCs w:val="21"/>
        </w:rPr>
        <w:t>老师（微信同号）</w:t>
      </w:r>
    </w:p>
    <w:p w14:paraId="7E513047">
      <w:pPr>
        <w:spacing w:line="440" w:lineRule="exact"/>
        <w:ind w:firstLine="1050" w:firstLineChars="500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13111898113 营销岗位-周老师</w:t>
      </w:r>
      <w:r>
        <w:rPr>
          <w:rFonts w:hint="eastAsia" w:ascii="微软雅黑" w:hAnsi="微软雅黑" w:eastAsia="微软雅黑" w:cs="微软雅黑"/>
          <w:szCs w:val="21"/>
        </w:rPr>
        <w:t>（微信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：zhouyi2522</w:t>
      </w:r>
      <w:r>
        <w:rPr>
          <w:rFonts w:hint="eastAsia" w:ascii="微软雅黑" w:hAnsi="微软雅黑" w:eastAsia="微软雅黑" w:cs="微软雅黑"/>
          <w:szCs w:val="21"/>
        </w:rPr>
        <w:t>）</w:t>
      </w:r>
    </w:p>
    <w:p w14:paraId="081512F9">
      <w:pPr>
        <w:spacing w:line="440" w:lineRule="exact"/>
        <w:ind w:firstLine="1050" w:firstLineChars="50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17323866767 万州岗位-何老师</w:t>
      </w:r>
      <w:r>
        <w:rPr>
          <w:rFonts w:hint="eastAsia" w:ascii="微软雅黑" w:hAnsi="微软雅黑" w:eastAsia="微软雅黑" w:cs="微软雅黑"/>
          <w:szCs w:val="21"/>
        </w:rPr>
        <w:t>（微信同号）</w:t>
      </w:r>
    </w:p>
    <w:p w14:paraId="314CB664">
      <w:pPr>
        <w:spacing w:line="440" w:lineRule="exac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/>
          <w:b/>
          <w:bCs/>
        </w:rPr>
        <w:t>公司地址</w:t>
      </w:r>
      <w:r>
        <w:rPr>
          <w:rFonts w:hint="eastAsia" w:ascii="微软雅黑" w:hAnsi="微软雅黑" w:eastAsia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lang w:val="en-US" w:eastAsia="zh-CN"/>
        </w:rPr>
        <w:t>成都总部</w:t>
      </w:r>
      <w:r>
        <w:rPr>
          <w:rFonts w:hint="eastAsia" w:ascii="微软雅黑" w:hAnsi="微软雅黑" w:eastAsia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szCs w:val="21"/>
        </w:rPr>
        <w:t>：</w:t>
      </w:r>
      <w:r>
        <w:rPr>
          <w:rFonts w:hint="eastAsia" w:ascii="微软雅黑" w:hAnsi="微软雅黑" w:eastAsia="微软雅黑"/>
        </w:rPr>
        <w:t>四川省成都市高新西区迪康大道1号（近2号线犀浦地铁站/6号线天宇路地铁站）</w:t>
      </w:r>
    </w:p>
    <w:p w14:paraId="3831CE78">
      <w:pPr>
        <w:spacing w:line="440" w:lineRule="exac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公司地址</w:t>
      </w:r>
      <w:r>
        <w:rPr>
          <w:rFonts w:hint="eastAsia" w:ascii="微软雅黑" w:hAnsi="微软雅黑" w:eastAsia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lang w:val="en-US" w:eastAsia="zh-CN"/>
        </w:rPr>
        <w:t>万州园区</w:t>
      </w:r>
      <w:r>
        <w:rPr>
          <w:rFonts w:hint="eastAsia" w:ascii="微软雅黑" w:hAnsi="微软雅黑" w:eastAsia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 w:cs="微软雅黑"/>
          <w:szCs w:val="21"/>
        </w:rPr>
        <w:t>：重庆市万州区经开大道108号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BAE099AD"/>
    <w:multiLevelType w:val="singleLevel"/>
    <w:tmpl w:val="BAE099A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E181BDB"/>
    <w:multiLevelType w:val="singleLevel"/>
    <w:tmpl w:val="2E181BDB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CC02A2E"/>
    <w:multiLevelType w:val="multilevel"/>
    <w:tmpl w:val="4CC02A2E"/>
    <w:lvl w:ilvl="0" w:tentative="0">
      <w:start w:val="1"/>
      <w:numFmt w:val="bullet"/>
      <w:lvlText w:val=""/>
      <w:lvlPicBulletId w:val="0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hYTIwZGI4OTg0YWNiNzBhNTM0ZTdhNWU1OGZkMDgifQ=="/>
  </w:docVars>
  <w:rsids>
    <w:rsidRoot w:val="00E134AB"/>
    <w:rsid w:val="00050256"/>
    <w:rsid w:val="0005774B"/>
    <w:rsid w:val="00070F60"/>
    <w:rsid w:val="000808BA"/>
    <w:rsid w:val="000A0469"/>
    <w:rsid w:val="000A61A5"/>
    <w:rsid w:val="000C4423"/>
    <w:rsid w:val="000E0C62"/>
    <w:rsid w:val="000E57A4"/>
    <w:rsid w:val="000F1642"/>
    <w:rsid w:val="00106F1F"/>
    <w:rsid w:val="001456BA"/>
    <w:rsid w:val="00156F39"/>
    <w:rsid w:val="001704AE"/>
    <w:rsid w:val="001A497A"/>
    <w:rsid w:val="001A69E1"/>
    <w:rsid w:val="001E5E8B"/>
    <w:rsid w:val="001F1169"/>
    <w:rsid w:val="00214573"/>
    <w:rsid w:val="00217B88"/>
    <w:rsid w:val="00222A43"/>
    <w:rsid w:val="0023609C"/>
    <w:rsid w:val="00242AA3"/>
    <w:rsid w:val="00246E5C"/>
    <w:rsid w:val="00256D18"/>
    <w:rsid w:val="002A3838"/>
    <w:rsid w:val="002A438E"/>
    <w:rsid w:val="002C1C0F"/>
    <w:rsid w:val="002F6A6D"/>
    <w:rsid w:val="002F79D0"/>
    <w:rsid w:val="00312A2E"/>
    <w:rsid w:val="00314E9C"/>
    <w:rsid w:val="00316739"/>
    <w:rsid w:val="00317C91"/>
    <w:rsid w:val="003345CC"/>
    <w:rsid w:val="00353168"/>
    <w:rsid w:val="00371DE4"/>
    <w:rsid w:val="00387D7C"/>
    <w:rsid w:val="003939D3"/>
    <w:rsid w:val="00394689"/>
    <w:rsid w:val="003F198A"/>
    <w:rsid w:val="004014A6"/>
    <w:rsid w:val="00441C96"/>
    <w:rsid w:val="00470170"/>
    <w:rsid w:val="00471EEF"/>
    <w:rsid w:val="00473D4A"/>
    <w:rsid w:val="004839DD"/>
    <w:rsid w:val="004A5837"/>
    <w:rsid w:val="004B42F7"/>
    <w:rsid w:val="004D5E88"/>
    <w:rsid w:val="004E4863"/>
    <w:rsid w:val="004E5E74"/>
    <w:rsid w:val="004F04CF"/>
    <w:rsid w:val="004F3D68"/>
    <w:rsid w:val="004F68EE"/>
    <w:rsid w:val="00517CFB"/>
    <w:rsid w:val="00523398"/>
    <w:rsid w:val="00530181"/>
    <w:rsid w:val="005355D8"/>
    <w:rsid w:val="00565C08"/>
    <w:rsid w:val="00571F69"/>
    <w:rsid w:val="00572146"/>
    <w:rsid w:val="00582AF0"/>
    <w:rsid w:val="00593C41"/>
    <w:rsid w:val="005A7750"/>
    <w:rsid w:val="005C4B05"/>
    <w:rsid w:val="005F61C8"/>
    <w:rsid w:val="00615C31"/>
    <w:rsid w:val="0061648C"/>
    <w:rsid w:val="00634499"/>
    <w:rsid w:val="00655C83"/>
    <w:rsid w:val="0067353D"/>
    <w:rsid w:val="00696570"/>
    <w:rsid w:val="007116DA"/>
    <w:rsid w:val="00715751"/>
    <w:rsid w:val="00717A2B"/>
    <w:rsid w:val="00725FA1"/>
    <w:rsid w:val="00726F8B"/>
    <w:rsid w:val="00732E4A"/>
    <w:rsid w:val="00737B25"/>
    <w:rsid w:val="007573C4"/>
    <w:rsid w:val="0076689C"/>
    <w:rsid w:val="00772B29"/>
    <w:rsid w:val="00791DC9"/>
    <w:rsid w:val="007960A3"/>
    <w:rsid w:val="007A6B77"/>
    <w:rsid w:val="007B29AE"/>
    <w:rsid w:val="007C0F2D"/>
    <w:rsid w:val="007C3924"/>
    <w:rsid w:val="007D29EE"/>
    <w:rsid w:val="00810181"/>
    <w:rsid w:val="00836B6E"/>
    <w:rsid w:val="00866ECD"/>
    <w:rsid w:val="00882F91"/>
    <w:rsid w:val="00885152"/>
    <w:rsid w:val="008B62CB"/>
    <w:rsid w:val="008D13CF"/>
    <w:rsid w:val="008D79F4"/>
    <w:rsid w:val="008E4470"/>
    <w:rsid w:val="008E679B"/>
    <w:rsid w:val="0090433F"/>
    <w:rsid w:val="00911979"/>
    <w:rsid w:val="0095379B"/>
    <w:rsid w:val="00954EF2"/>
    <w:rsid w:val="009551AE"/>
    <w:rsid w:val="009771F9"/>
    <w:rsid w:val="009D3259"/>
    <w:rsid w:val="009D7860"/>
    <w:rsid w:val="009E5263"/>
    <w:rsid w:val="00A049A1"/>
    <w:rsid w:val="00A272BB"/>
    <w:rsid w:val="00A3357A"/>
    <w:rsid w:val="00A34434"/>
    <w:rsid w:val="00A51368"/>
    <w:rsid w:val="00A52A20"/>
    <w:rsid w:val="00A74600"/>
    <w:rsid w:val="00A74CB9"/>
    <w:rsid w:val="00AA464A"/>
    <w:rsid w:val="00AA7B4D"/>
    <w:rsid w:val="00AA7DF5"/>
    <w:rsid w:val="00AC5404"/>
    <w:rsid w:val="00AD4135"/>
    <w:rsid w:val="00AD4748"/>
    <w:rsid w:val="00B1411C"/>
    <w:rsid w:val="00B2463B"/>
    <w:rsid w:val="00B57F72"/>
    <w:rsid w:val="00B83187"/>
    <w:rsid w:val="00BB21F6"/>
    <w:rsid w:val="00BC22C6"/>
    <w:rsid w:val="00BE5408"/>
    <w:rsid w:val="00BF1F20"/>
    <w:rsid w:val="00C04EE4"/>
    <w:rsid w:val="00C15F19"/>
    <w:rsid w:val="00C318C5"/>
    <w:rsid w:val="00C37F59"/>
    <w:rsid w:val="00C4275B"/>
    <w:rsid w:val="00C47544"/>
    <w:rsid w:val="00C47C78"/>
    <w:rsid w:val="00C620A2"/>
    <w:rsid w:val="00C717A2"/>
    <w:rsid w:val="00C724A4"/>
    <w:rsid w:val="00C86859"/>
    <w:rsid w:val="00C96B29"/>
    <w:rsid w:val="00C97D37"/>
    <w:rsid w:val="00CC4EE5"/>
    <w:rsid w:val="00CC719C"/>
    <w:rsid w:val="00CE0FE2"/>
    <w:rsid w:val="00CE2A64"/>
    <w:rsid w:val="00CE3BB4"/>
    <w:rsid w:val="00CF6AE8"/>
    <w:rsid w:val="00CF7685"/>
    <w:rsid w:val="00D149C1"/>
    <w:rsid w:val="00D25430"/>
    <w:rsid w:val="00D671FC"/>
    <w:rsid w:val="00DC1C0C"/>
    <w:rsid w:val="00DD12CA"/>
    <w:rsid w:val="00E134AB"/>
    <w:rsid w:val="00E30212"/>
    <w:rsid w:val="00E633E5"/>
    <w:rsid w:val="00E75757"/>
    <w:rsid w:val="00ED1F22"/>
    <w:rsid w:val="00ED2D12"/>
    <w:rsid w:val="00F03F16"/>
    <w:rsid w:val="00F051B0"/>
    <w:rsid w:val="00F15BE8"/>
    <w:rsid w:val="00F22B54"/>
    <w:rsid w:val="00F2442B"/>
    <w:rsid w:val="00F25DAE"/>
    <w:rsid w:val="00F31501"/>
    <w:rsid w:val="00F35246"/>
    <w:rsid w:val="00F42435"/>
    <w:rsid w:val="00F5349F"/>
    <w:rsid w:val="00F57502"/>
    <w:rsid w:val="00F57B8A"/>
    <w:rsid w:val="00F60453"/>
    <w:rsid w:val="00F705CE"/>
    <w:rsid w:val="00F73AF3"/>
    <w:rsid w:val="00FA5818"/>
    <w:rsid w:val="00FC28F3"/>
    <w:rsid w:val="00FD0A68"/>
    <w:rsid w:val="00FD204A"/>
    <w:rsid w:val="00FE14D4"/>
    <w:rsid w:val="00FE2BF6"/>
    <w:rsid w:val="033C7FB0"/>
    <w:rsid w:val="03AC1B29"/>
    <w:rsid w:val="081D0F29"/>
    <w:rsid w:val="0841469B"/>
    <w:rsid w:val="17AA2862"/>
    <w:rsid w:val="18CE10D0"/>
    <w:rsid w:val="19AF439B"/>
    <w:rsid w:val="1A832293"/>
    <w:rsid w:val="1BDB0DA5"/>
    <w:rsid w:val="20E70EFD"/>
    <w:rsid w:val="21224762"/>
    <w:rsid w:val="24DC28C9"/>
    <w:rsid w:val="24EF7FF3"/>
    <w:rsid w:val="251B0465"/>
    <w:rsid w:val="29234D15"/>
    <w:rsid w:val="2A582169"/>
    <w:rsid w:val="2C0D3B88"/>
    <w:rsid w:val="35372E78"/>
    <w:rsid w:val="37D317C7"/>
    <w:rsid w:val="381706CC"/>
    <w:rsid w:val="3D070994"/>
    <w:rsid w:val="3E9E5145"/>
    <w:rsid w:val="42D53A45"/>
    <w:rsid w:val="46836104"/>
    <w:rsid w:val="490E4F35"/>
    <w:rsid w:val="4D0E6791"/>
    <w:rsid w:val="4FD35D35"/>
    <w:rsid w:val="552320DB"/>
    <w:rsid w:val="56533B8E"/>
    <w:rsid w:val="6321603D"/>
    <w:rsid w:val="64AD2180"/>
    <w:rsid w:val="67C304EC"/>
    <w:rsid w:val="6BF40AC0"/>
    <w:rsid w:val="72817A7F"/>
    <w:rsid w:val="7298446F"/>
    <w:rsid w:val="749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1459</Words>
  <Characters>1567</Characters>
  <Lines>11</Lines>
  <Paragraphs>3</Paragraphs>
  <TotalTime>8</TotalTime>
  <ScaleCrop>false</ScaleCrop>
  <LinksUpToDate>false</LinksUpToDate>
  <CharactersWithSpaces>1579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2021-03-10T09:52:00Z</dcterms:created>
  <dc:creator>dk_PC</dc:creator>
  <cp:lastModifiedBy>陡刨怯妓改</cp:lastModifiedBy>
  <dcterms:modified xsi:type="dcterms:W3CDTF">2025-09-12T03:53:13Z</dcterms:modified>
  <cp:revision>164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1B27756035F14B5F82E8A7B833939D2A_13</vt:lpwstr>
  </property>
  <property fmtid="{D5CDD505-2E9C-101B-9397-08002B2CF9AE}" pid="4" name="KSOTemplateDocerSaveRecord">
    <vt:lpwstr>eyJoZGlkIjoiMmVhYTIwZGI4OTg0YWNiNzBhNTM0ZTdhNWU1OGZkMDgiLCJ1c2VySWQiOiIxNzMxMTUwMjU2In0=</vt:lpwstr>
  </property>
</Properties>
</file>